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F" w:rsidRDefault="0019583F" w:rsidP="0019583F">
      <w:pPr>
        <w:spacing w:line="610" w:lineRule="exact"/>
        <w:jc w:val="center"/>
        <w:rPr>
          <w:rFonts w:ascii="標楷體" w:eastAsia="標楷體" w:hAnsi="標楷體"/>
          <w:sz w:val="36"/>
        </w:rPr>
      </w:pPr>
      <w:bookmarkStart w:id="0" w:name="_GoBack"/>
      <w:r w:rsidRPr="00391B74">
        <w:rPr>
          <w:rFonts w:ascii="標楷體" w:eastAsia="標楷體" w:hAnsi="標楷體" w:hint="eastAsia"/>
          <w:sz w:val="36"/>
        </w:rPr>
        <w:t xml:space="preserve">非藥師本人調劑與以非藥師本人調劑申請健保給付  </w:t>
      </w:r>
    </w:p>
    <w:p w:rsidR="0019583F" w:rsidRPr="00502DAF" w:rsidRDefault="0019583F" w:rsidP="0019583F">
      <w:pPr>
        <w:spacing w:afterLines="50" w:after="180" w:line="610" w:lineRule="exact"/>
        <w:jc w:val="center"/>
        <w:rPr>
          <w:rFonts w:ascii="標楷體" w:eastAsia="標楷體" w:hAnsi="標楷體"/>
          <w:sz w:val="36"/>
        </w:rPr>
      </w:pPr>
      <w:r w:rsidRPr="00391B74">
        <w:rPr>
          <w:rFonts w:ascii="標楷體" w:eastAsia="標楷體" w:hAnsi="標楷體" w:hint="eastAsia"/>
          <w:sz w:val="36"/>
        </w:rPr>
        <w:t>違反的相關法規</w:t>
      </w:r>
    </w:p>
    <w:bookmarkEnd w:id="0"/>
    <w:p w:rsidR="0019583F" w:rsidRPr="00391B74" w:rsidRDefault="0019583F" w:rsidP="0019583F">
      <w:pPr>
        <w:spacing w:line="440" w:lineRule="exact"/>
        <w:rPr>
          <w:rFonts w:ascii="標楷體" w:eastAsia="標楷體" w:hAnsi="標楷體"/>
          <w:sz w:val="28"/>
        </w:rPr>
      </w:pPr>
      <w:r w:rsidRPr="00391B74">
        <w:rPr>
          <w:rFonts w:ascii="標楷體" w:eastAsia="標楷體" w:hAnsi="標楷體" w:hint="eastAsia"/>
          <w:b/>
          <w:sz w:val="28"/>
        </w:rPr>
        <w:t>一、非藥師本人調劑</w:t>
      </w: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</w:rPr>
      </w:pPr>
      <w:r>
        <w:rPr>
          <w:rFonts w:ascii="標楷體" w:eastAsia="標楷體" w:hAnsi="標楷體" w:cs="Helvetica" w:hint="eastAsia"/>
          <w:color w:val="222222"/>
        </w:rPr>
        <w:t>藥師身分者：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藥師法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第21條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藥師有下列情事之</w:t>
      </w:r>
      <w:proofErr w:type="gramStart"/>
      <w:r w:rsidRPr="00AB0310">
        <w:rPr>
          <w:rFonts w:ascii="標楷體" w:eastAsia="標楷體" w:hAnsi="標楷體" w:cs="Helvetica"/>
          <w:color w:val="222222"/>
        </w:rPr>
        <w:t>一</w:t>
      </w:r>
      <w:proofErr w:type="gramEnd"/>
      <w:r w:rsidRPr="00AB0310">
        <w:rPr>
          <w:rFonts w:ascii="標楷體" w:eastAsia="標楷體" w:hAnsi="標楷體" w:cs="Helvetica"/>
          <w:color w:val="222222"/>
        </w:rPr>
        <w:t>者，由藥師公會或主管機關移付懲戒：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一、藥師未親自執業而將證照租借他人使用者。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第21-1條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藥師懲戒之方式如下：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一、警告。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二、命接受額外之</w:t>
      </w:r>
      <w:proofErr w:type="gramStart"/>
      <w:r w:rsidRPr="00AB0310">
        <w:rPr>
          <w:rFonts w:ascii="標楷體" w:eastAsia="標楷體" w:hAnsi="標楷體" w:cs="Helvetica"/>
          <w:color w:val="222222"/>
        </w:rPr>
        <w:t>一</w:t>
      </w:r>
      <w:proofErr w:type="gramEnd"/>
      <w:r w:rsidRPr="00AB0310">
        <w:rPr>
          <w:rFonts w:ascii="標楷體" w:eastAsia="標楷體" w:hAnsi="標楷體" w:cs="Helvetica"/>
          <w:color w:val="222222"/>
        </w:rPr>
        <w:t>定時數繼續教育或臨床進修。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三、限制執業範圍或停業一個月以上一年以下。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四、廢止執業執照。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五、廢止藥師證書。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前項各款懲戒方式，其性質不相牴觸者，得合併為一懲戒處分。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 w:val="18"/>
          <w:szCs w:val="18"/>
        </w:rPr>
      </w:pP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>
        <w:rPr>
          <w:rFonts w:ascii="標楷體" w:eastAsia="標楷體" w:hAnsi="標楷體" w:cs="Helvetica"/>
          <w:color w:val="222222"/>
          <w:szCs w:val="18"/>
        </w:rPr>
        <w:t>未具藥師</w:t>
      </w:r>
      <w:r>
        <w:rPr>
          <w:rFonts w:ascii="標楷體" w:eastAsia="標楷體" w:hAnsi="標楷體" w:cs="Helvetica" w:hint="eastAsia"/>
          <w:color w:val="222222"/>
          <w:szCs w:val="18"/>
        </w:rPr>
        <w:t>身分者：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藥師法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第24條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未取得藥師資格擅自執行第十五條第一項之藥師業務者，處新臺幣六萬元以上三十萬元以下罰鍰。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民法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第184條</w:t>
      </w:r>
    </w:p>
    <w:p w:rsidR="0019583F" w:rsidRPr="00570595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因故意或過失，不法侵害他人之權利者，負損害賠償責任。故意以背於善良風俗之方法，加損害於他人者亦同。</w:t>
      </w: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570595">
        <w:rPr>
          <w:rFonts w:ascii="標楷體" w:eastAsia="標楷體" w:hAnsi="標楷體" w:cs="Helvetica"/>
          <w:color w:val="222222"/>
          <w:szCs w:val="18"/>
        </w:rPr>
        <w:t>違反保護他人之法律，致生損害於他人者，負賠償責任。但能證明其行為無過失者，不在此限。</w:t>
      </w: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>
        <w:rPr>
          <w:rFonts w:ascii="標楷體" w:eastAsia="標楷體" w:hAnsi="標楷體" w:cs="Helvetica" w:hint="eastAsia"/>
          <w:color w:val="222222"/>
          <w:szCs w:val="18"/>
        </w:rPr>
        <w:t>醫療法</w:t>
      </w:r>
    </w:p>
    <w:p w:rsidR="0019583F" w:rsidRPr="00610EC3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610EC3">
        <w:rPr>
          <w:rFonts w:ascii="標楷體" w:eastAsia="標楷體" w:hAnsi="標楷體" w:cs="Helvetica" w:hint="eastAsia"/>
          <w:color w:val="222222"/>
          <w:szCs w:val="18"/>
        </w:rPr>
        <w:t>第 57 條</w:t>
      </w:r>
    </w:p>
    <w:p w:rsidR="0019583F" w:rsidRPr="00610EC3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610EC3">
        <w:rPr>
          <w:rFonts w:ascii="標楷體" w:eastAsia="標楷體" w:hAnsi="標楷體" w:cs="Helvetica" w:hint="eastAsia"/>
          <w:color w:val="222222"/>
          <w:szCs w:val="18"/>
        </w:rPr>
        <w:t>醫療機構應督導所屬</w:t>
      </w:r>
      <w:proofErr w:type="gramStart"/>
      <w:r w:rsidRPr="00610EC3">
        <w:rPr>
          <w:rFonts w:ascii="標楷體" w:eastAsia="標楷體" w:hAnsi="標楷體" w:cs="Helvetica" w:hint="eastAsia"/>
          <w:color w:val="222222"/>
          <w:szCs w:val="18"/>
        </w:rPr>
        <w:t>醫</w:t>
      </w:r>
      <w:proofErr w:type="gramEnd"/>
      <w:r w:rsidRPr="00610EC3">
        <w:rPr>
          <w:rFonts w:ascii="標楷體" w:eastAsia="標楷體" w:hAnsi="標楷體" w:cs="Helvetica" w:hint="eastAsia"/>
          <w:color w:val="222222"/>
          <w:szCs w:val="18"/>
        </w:rPr>
        <w:t>事人員，依各該</w:t>
      </w:r>
      <w:proofErr w:type="gramStart"/>
      <w:r w:rsidRPr="00610EC3">
        <w:rPr>
          <w:rFonts w:ascii="標楷體" w:eastAsia="標楷體" w:hAnsi="標楷體" w:cs="Helvetica" w:hint="eastAsia"/>
          <w:color w:val="222222"/>
          <w:szCs w:val="18"/>
        </w:rPr>
        <w:t>醫</w:t>
      </w:r>
      <w:proofErr w:type="gramEnd"/>
      <w:r w:rsidRPr="00610EC3">
        <w:rPr>
          <w:rFonts w:ascii="標楷體" w:eastAsia="標楷體" w:hAnsi="標楷體" w:cs="Helvetica" w:hint="eastAsia"/>
          <w:color w:val="222222"/>
          <w:szCs w:val="18"/>
        </w:rPr>
        <w:t>事專門職業法規規定，執行業務。</w:t>
      </w:r>
      <w:r w:rsidRPr="00610EC3">
        <w:rPr>
          <w:rFonts w:ascii="標楷體" w:eastAsia="標楷體" w:hAnsi="標楷體" w:cs="Helvetica" w:hint="eastAsia"/>
          <w:color w:val="222222"/>
          <w:szCs w:val="18"/>
        </w:rPr>
        <w:br/>
        <w:t>醫療機構不得聘僱或容留未具</w:t>
      </w:r>
      <w:proofErr w:type="gramStart"/>
      <w:r w:rsidRPr="00610EC3">
        <w:rPr>
          <w:rFonts w:ascii="標楷體" w:eastAsia="標楷體" w:hAnsi="標楷體" w:cs="Helvetica" w:hint="eastAsia"/>
          <w:color w:val="222222"/>
          <w:szCs w:val="18"/>
        </w:rPr>
        <w:t>醫</w:t>
      </w:r>
      <w:proofErr w:type="gramEnd"/>
      <w:r w:rsidRPr="00610EC3">
        <w:rPr>
          <w:rFonts w:ascii="標楷體" w:eastAsia="標楷體" w:hAnsi="標楷體" w:cs="Helvetica" w:hint="eastAsia"/>
          <w:color w:val="222222"/>
          <w:szCs w:val="18"/>
        </w:rPr>
        <w:t>事人員資格者，執行應由特定</w:t>
      </w:r>
      <w:proofErr w:type="gramStart"/>
      <w:r w:rsidRPr="00610EC3">
        <w:rPr>
          <w:rFonts w:ascii="標楷體" w:eastAsia="標楷體" w:hAnsi="標楷體" w:cs="Helvetica" w:hint="eastAsia"/>
          <w:color w:val="222222"/>
          <w:szCs w:val="18"/>
        </w:rPr>
        <w:t>醫</w:t>
      </w:r>
      <w:proofErr w:type="gramEnd"/>
      <w:r w:rsidRPr="00610EC3">
        <w:rPr>
          <w:rFonts w:ascii="標楷體" w:eastAsia="標楷體" w:hAnsi="標楷體" w:cs="Helvetica" w:hint="eastAsia"/>
          <w:color w:val="222222"/>
          <w:szCs w:val="18"/>
        </w:rPr>
        <w:t>事人員執行之業務。</w:t>
      </w: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</w:p>
    <w:p w:rsidR="0019583F" w:rsidRPr="00610EC3" w:rsidRDefault="0019583F" w:rsidP="0019583F">
      <w:pPr>
        <w:pStyle w:val="Web"/>
        <w:shd w:val="clear" w:color="auto" w:fill="FFFFFF"/>
        <w:spacing w:before="0" w:beforeAutospacing="0" w:after="0" w:afterAutospacing="0" w:line="350" w:lineRule="exact"/>
        <w:rPr>
          <w:rFonts w:ascii="標楷體" w:eastAsia="標楷體" w:hAnsi="標楷體" w:cs="Helvetica"/>
          <w:color w:val="222222"/>
          <w:szCs w:val="18"/>
        </w:rPr>
      </w:pPr>
      <w:r w:rsidRPr="00A652AD">
        <w:rPr>
          <w:rFonts w:ascii="標楷體" w:eastAsia="標楷體" w:hAnsi="標楷體" w:cs="Helvetica" w:hint="eastAsia"/>
          <w:color w:val="222222"/>
          <w:szCs w:val="18"/>
        </w:rPr>
        <w:t>違反醫療法57條規定，依照103條處以五萬元以上二十五萬元以下罰鍰</w:t>
      </w:r>
    </w:p>
    <w:p w:rsidR="0019583F" w:rsidRPr="00391B74" w:rsidRDefault="0019583F" w:rsidP="0019583F">
      <w:pPr>
        <w:pStyle w:val="Web"/>
        <w:shd w:val="clear" w:color="auto" w:fill="FFFFFF"/>
        <w:spacing w:before="0" w:beforeAutospacing="0" w:afterLines="50" w:after="180" w:afterAutospacing="0" w:line="400" w:lineRule="exact"/>
        <w:rPr>
          <w:rFonts w:ascii="標楷體" w:eastAsia="標楷體" w:hAnsi="標楷體" w:cs="Helvetica"/>
          <w:color w:val="222222"/>
          <w:sz w:val="20"/>
          <w:szCs w:val="18"/>
        </w:rPr>
      </w:pPr>
      <w:r>
        <w:rPr>
          <w:rFonts w:ascii="標楷體" w:eastAsia="標楷體" w:hAnsi="標楷體"/>
          <w:b/>
          <w:sz w:val="28"/>
        </w:rPr>
        <w:br w:type="page"/>
      </w:r>
      <w:r w:rsidRPr="00391B74">
        <w:rPr>
          <w:rFonts w:ascii="標楷體" w:eastAsia="標楷體" w:hAnsi="標楷體" w:hint="eastAsia"/>
          <w:b/>
          <w:sz w:val="28"/>
        </w:rPr>
        <w:lastRenderedPageBreak/>
        <w:t>二、非藥師本人調劑，申請健保給付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共犯(偽造文書,詐欺)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刑法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第210條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偽造、</w:t>
      </w:r>
      <w:proofErr w:type="gramStart"/>
      <w:r w:rsidRPr="00AB0310">
        <w:rPr>
          <w:rFonts w:ascii="標楷體" w:eastAsia="標楷體" w:hAnsi="標楷體" w:cs="Helvetica"/>
          <w:color w:val="222222"/>
        </w:rPr>
        <w:t>變造私文書</w:t>
      </w:r>
      <w:proofErr w:type="gramEnd"/>
      <w:r w:rsidRPr="00AB0310">
        <w:rPr>
          <w:rFonts w:ascii="標楷體" w:eastAsia="標楷體" w:hAnsi="標楷體" w:cs="Helvetica"/>
          <w:color w:val="222222"/>
        </w:rPr>
        <w:t>，足以生損害於公眾或他人者，處五年以下有期徒刑。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第215條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從事業務之人，明知為不實之事項，而登載於其業務上作成之文書，足以生損害於公眾或他人者，處三年以下有期徒刑、拘役或五百元以下罰金。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第216條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行使第二百一十條至第二百一十五條之文書者，依偽造、變造文書或登載</w:t>
      </w:r>
      <w:proofErr w:type="gramStart"/>
      <w:r w:rsidRPr="00AB0310">
        <w:rPr>
          <w:rFonts w:ascii="標楷體" w:eastAsia="標楷體" w:hAnsi="標楷體" w:cs="Helvetica"/>
          <w:color w:val="222222"/>
        </w:rPr>
        <w:t>不</w:t>
      </w:r>
      <w:proofErr w:type="gramEnd"/>
      <w:r w:rsidRPr="00AB0310">
        <w:rPr>
          <w:rFonts w:ascii="標楷體" w:eastAsia="標楷體" w:hAnsi="標楷體" w:cs="Helvetica"/>
          <w:color w:val="222222"/>
        </w:rPr>
        <w:t>實事項或使登載</w:t>
      </w:r>
      <w:proofErr w:type="gramStart"/>
      <w:r w:rsidRPr="00AB0310">
        <w:rPr>
          <w:rFonts w:ascii="標楷體" w:eastAsia="標楷體" w:hAnsi="標楷體" w:cs="Helvetica"/>
          <w:color w:val="222222"/>
        </w:rPr>
        <w:t>不</w:t>
      </w:r>
      <w:proofErr w:type="gramEnd"/>
      <w:r w:rsidRPr="00AB0310">
        <w:rPr>
          <w:rFonts w:ascii="標楷體" w:eastAsia="標楷體" w:hAnsi="標楷體" w:cs="Helvetica"/>
          <w:color w:val="222222"/>
        </w:rPr>
        <w:t>實事項之規定處斷。</w:t>
      </w: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</w:rPr>
      </w:pPr>
    </w:p>
    <w:p w:rsidR="0019583F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</w:rPr>
      </w:pP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第339條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意圖為自己或第三人不法之所有，以詐術使人將本人或第三人之物交付者，處五年以下有期徒刑、拘役或科或</w:t>
      </w:r>
      <w:proofErr w:type="gramStart"/>
      <w:r w:rsidRPr="00AB0310">
        <w:rPr>
          <w:rFonts w:ascii="標楷體" w:eastAsia="標楷體" w:hAnsi="標楷體" w:cs="Helvetica"/>
          <w:color w:val="222222"/>
        </w:rPr>
        <w:t>併</w:t>
      </w:r>
      <w:proofErr w:type="gramEnd"/>
      <w:r w:rsidRPr="00AB0310">
        <w:rPr>
          <w:rFonts w:ascii="標楷體" w:eastAsia="標楷體" w:hAnsi="標楷體" w:cs="Helvetica"/>
          <w:color w:val="222222"/>
        </w:rPr>
        <w:t>科五十萬元以下罰金。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以前項方法得財產上不法之利益或使第三人得之者，亦同。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前二項之未遂犯罰之。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民法(對健保局來說)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第184條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因故意或過失，不法侵害他人之權利者，負損害賠償責任。故意以背於善良風俗之方法，加損害於他人者亦同。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違反保護他人之法律，致生損害於他人者，負賠償責任。但能證明其行為無過失者，不在此限。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全民健康保險法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第81條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以不正當行為或以虛偽之證明、報告、陳述而領取保險給付、申請核退或申報醫療費用者，處以其領取之保險給付、申請核退或申報之醫療費用二倍至二十</w:t>
      </w:r>
      <w:proofErr w:type="gramStart"/>
      <w:r w:rsidRPr="00AB0310">
        <w:rPr>
          <w:rFonts w:ascii="標楷體" w:eastAsia="標楷體" w:hAnsi="標楷體" w:cs="Helvetica"/>
          <w:color w:val="222222"/>
        </w:rPr>
        <w:t>倍</w:t>
      </w:r>
      <w:proofErr w:type="gramEnd"/>
      <w:r w:rsidRPr="00AB0310">
        <w:rPr>
          <w:rFonts w:ascii="標楷體" w:eastAsia="標楷體" w:hAnsi="標楷體" w:cs="Helvetica"/>
          <w:color w:val="222222"/>
        </w:rPr>
        <w:t>之罰鍰；其涉及刑責者，移送司法機關辦理。保險</w:t>
      </w:r>
      <w:proofErr w:type="gramStart"/>
      <w:r w:rsidRPr="00AB0310">
        <w:rPr>
          <w:rFonts w:ascii="標楷體" w:eastAsia="標楷體" w:hAnsi="標楷體" w:cs="Helvetica"/>
          <w:color w:val="222222"/>
        </w:rPr>
        <w:t>醫</w:t>
      </w:r>
      <w:proofErr w:type="gramEnd"/>
      <w:r w:rsidRPr="00AB0310">
        <w:rPr>
          <w:rFonts w:ascii="標楷體" w:eastAsia="標楷體" w:hAnsi="標楷體" w:cs="Helvetica"/>
          <w:color w:val="222222"/>
        </w:rPr>
        <w:t>事服務機構因該事由已領取之醫療費用，得在其申報之應領醫療費用內扣除。</w:t>
      </w:r>
    </w:p>
    <w:p w:rsidR="0019583F" w:rsidRPr="00AB0310" w:rsidRDefault="0019583F" w:rsidP="0019583F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Helvetica"/>
          <w:color w:val="222222"/>
          <w:sz w:val="18"/>
          <w:szCs w:val="18"/>
        </w:rPr>
      </w:pPr>
      <w:r w:rsidRPr="00AB0310">
        <w:rPr>
          <w:rFonts w:ascii="標楷體" w:eastAsia="標楷體" w:hAnsi="標楷體" w:cs="Helvetica"/>
          <w:color w:val="222222"/>
        </w:rPr>
        <w:t>保險</w:t>
      </w:r>
      <w:proofErr w:type="gramStart"/>
      <w:r w:rsidRPr="00AB0310">
        <w:rPr>
          <w:rFonts w:ascii="標楷體" w:eastAsia="標楷體" w:hAnsi="標楷體" w:cs="Helvetica"/>
          <w:color w:val="222222"/>
        </w:rPr>
        <w:t>醫</w:t>
      </w:r>
      <w:proofErr w:type="gramEnd"/>
      <w:r w:rsidRPr="00AB0310">
        <w:rPr>
          <w:rFonts w:ascii="標楷體" w:eastAsia="標楷體" w:hAnsi="標楷體" w:cs="Helvetica"/>
          <w:color w:val="222222"/>
        </w:rPr>
        <w:t>事服務機構有前項規定行為，其情節重大者，保險人應公告其名稱、負責</w:t>
      </w:r>
      <w:proofErr w:type="gramStart"/>
      <w:r w:rsidRPr="00AB0310">
        <w:rPr>
          <w:rFonts w:ascii="標楷體" w:eastAsia="標楷體" w:hAnsi="標楷體" w:cs="Helvetica"/>
          <w:color w:val="222222"/>
        </w:rPr>
        <w:t>醫</w:t>
      </w:r>
      <w:proofErr w:type="gramEnd"/>
      <w:r w:rsidRPr="00AB0310">
        <w:rPr>
          <w:rFonts w:ascii="標楷體" w:eastAsia="標楷體" w:hAnsi="標楷體" w:cs="Helvetica"/>
          <w:color w:val="222222"/>
        </w:rPr>
        <w:t>事人員或行為人姓名及違法事實。</w:t>
      </w:r>
    </w:p>
    <w:p w:rsidR="0019583F" w:rsidRPr="00C8402B" w:rsidRDefault="0019583F" w:rsidP="0019583F">
      <w:pPr>
        <w:jc w:val="center"/>
        <w:rPr>
          <w:rFonts w:ascii="標楷體" w:eastAsia="標楷體" w:hAnsi="標楷體"/>
          <w:sz w:val="36"/>
        </w:rPr>
      </w:pPr>
      <w:r>
        <w:br w:type="page"/>
      </w:r>
      <w:r w:rsidRPr="00C8402B">
        <w:rPr>
          <w:rFonts w:ascii="標楷體" w:eastAsia="標楷體" w:hAnsi="標楷體" w:hint="eastAsia"/>
          <w:sz w:val="36"/>
        </w:rPr>
        <w:lastRenderedPageBreak/>
        <w:t>「雇主以未執行業務藥師向健保署申請健保費」</w:t>
      </w:r>
    </w:p>
    <w:p w:rsidR="0019583F" w:rsidRPr="00B72498" w:rsidRDefault="0019583F" w:rsidP="0019583F">
      <w:pPr>
        <w:spacing w:line="560" w:lineRule="exact"/>
        <w:jc w:val="center"/>
        <w:rPr>
          <w:rFonts w:ascii="標楷體" w:eastAsia="標楷體" w:hAnsi="標楷體"/>
          <w:sz w:val="32"/>
        </w:rPr>
      </w:pPr>
      <w:r w:rsidRPr="00C8402B">
        <w:rPr>
          <w:rFonts w:ascii="標楷體" w:eastAsia="標楷體" w:hAnsi="標楷體" w:hint="eastAsia"/>
          <w:sz w:val="36"/>
        </w:rPr>
        <w:t>相關罰責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Q：</w:t>
      </w:r>
      <w:r w:rsidRPr="000C7FD5">
        <w:rPr>
          <w:rFonts w:ascii="標楷體" w:eastAsia="標楷體" w:hAnsi="標楷體" w:hint="eastAsia"/>
        </w:rPr>
        <w:t>如果藥師因為有事請假，有找另外一位原本在別處執業的藥師來自己的診所代班，但卻未申請報備支援、也未帶執照卻支援。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proofErr w:type="gramStart"/>
      <w:r w:rsidRPr="000C7FD5">
        <w:rPr>
          <w:rFonts w:ascii="標楷體" w:eastAsia="標楷體" w:hAnsi="標楷體" w:hint="eastAsia"/>
        </w:rPr>
        <w:t>而</w:t>
      </w:r>
      <w:proofErr w:type="gramEnd"/>
      <w:r w:rsidRPr="000C7FD5">
        <w:rPr>
          <w:rFonts w:ascii="標楷體" w:eastAsia="標楷體" w:hAnsi="標楷體" w:hint="eastAsia"/>
        </w:rPr>
        <w:t>，藥師未執業時，自己執照給非本人使用向健保署申請藥事服務費等，</w:t>
      </w:r>
      <w:proofErr w:type="gramStart"/>
      <w:r w:rsidRPr="000C7FD5">
        <w:rPr>
          <w:rFonts w:ascii="標楷體" w:eastAsia="標楷體" w:hAnsi="標楷體" w:hint="eastAsia"/>
        </w:rPr>
        <w:t>是否算詐領</w:t>
      </w:r>
      <w:proofErr w:type="gramEnd"/>
      <w:r w:rsidRPr="000C7FD5">
        <w:rPr>
          <w:rFonts w:ascii="標楷體" w:eastAsia="標楷體" w:hAnsi="標楷體" w:hint="eastAsia"/>
        </w:rPr>
        <w:t>健保費？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：</w:t>
      </w:r>
      <w:r w:rsidRPr="000C7FD5">
        <w:rPr>
          <w:rFonts w:ascii="標楷體" w:eastAsia="標楷體" w:hAnsi="標楷體" w:hint="eastAsia"/>
        </w:rPr>
        <w:t>藥師如需執業處所外執行業務須依藥師法第11條事先向所在地主管機關事先報准。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如藥師未依法事先</w:t>
      </w:r>
      <w:proofErr w:type="gramStart"/>
      <w:r w:rsidRPr="000C7FD5">
        <w:rPr>
          <w:rFonts w:ascii="標楷體" w:eastAsia="標楷體" w:hAnsi="標楷體" w:hint="eastAsia"/>
        </w:rPr>
        <w:t>報准則依</w:t>
      </w:r>
      <w:proofErr w:type="gramEnd"/>
      <w:r w:rsidRPr="000C7FD5">
        <w:rPr>
          <w:rFonts w:ascii="標楷體" w:eastAsia="標楷體" w:hAnsi="標楷體" w:hint="eastAsia"/>
        </w:rPr>
        <w:t>藥師法第23條規定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違反第五條第二項、第十一條或第二十條之規定者，處新臺幣三萬元以上十五萬元以下罰鍰。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「自己執照給非本人使用向健保署申請藥事服務」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除違反藥師法第21條可由</w:t>
      </w:r>
      <w:proofErr w:type="gramStart"/>
      <w:r w:rsidRPr="000C7FD5">
        <w:rPr>
          <w:rFonts w:ascii="標楷體" w:eastAsia="標楷體" w:hAnsi="標楷體" w:hint="eastAsia"/>
        </w:rPr>
        <w:t>由</w:t>
      </w:r>
      <w:proofErr w:type="gramEnd"/>
      <w:r w:rsidRPr="000C7FD5">
        <w:rPr>
          <w:rFonts w:ascii="標楷體" w:eastAsia="標楷體" w:hAnsi="標楷體" w:hint="eastAsia"/>
        </w:rPr>
        <w:t>藥師公會或主管機關移付懲戒外，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另依全民健康保險</w:t>
      </w:r>
      <w:proofErr w:type="gramStart"/>
      <w:r w:rsidRPr="000C7FD5">
        <w:rPr>
          <w:rFonts w:ascii="標楷體" w:eastAsia="標楷體" w:hAnsi="標楷體" w:hint="eastAsia"/>
        </w:rPr>
        <w:t>醫</w:t>
      </w:r>
      <w:proofErr w:type="gramEnd"/>
      <w:r w:rsidRPr="000C7FD5">
        <w:rPr>
          <w:rFonts w:ascii="標楷體" w:eastAsia="標楷體" w:hAnsi="標楷體" w:hint="eastAsia"/>
        </w:rPr>
        <w:t>事服務機構特約及管理辦法第37條、第39條、第40條規定處分。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依全民健康保險法第81條</w:t>
      </w:r>
    </w:p>
    <w:p w:rsidR="0019583F" w:rsidRPr="000C7FD5" w:rsidRDefault="0019583F" w:rsidP="0019583F">
      <w:pPr>
        <w:spacing w:line="560" w:lineRule="exact"/>
        <w:rPr>
          <w:rFonts w:ascii="標楷體" w:eastAsia="標楷體" w:hAnsi="標楷體"/>
        </w:rPr>
      </w:pPr>
      <w:r w:rsidRPr="000C7FD5">
        <w:rPr>
          <w:rFonts w:ascii="標楷體" w:eastAsia="標楷體" w:hAnsi="標楷體" w:hint="eastAsia"/>
        </w:rPr>
        <w:t>以不正當行為或以虛偽之證明、報告、陳述而領取保險給付、申請核退或申報醫療費用者，處以其領取之保險給付、申請核退或申報之醫療費用二倍至二十</w:t>
      </w:r>
      <w:proofErr w:type="gramStart"/>
      <w:r w:rsidRPr="000C7FD5">
        <w:rPr>
          <w:rFonts w:ascii="標楷體" w:eastAsia="標楷體" w:hAnsi="標楷體" w:hint="eastAsia"/>
        </w:rPr>
        <w:t>倍</w:t>
      </w:r>
      <w:proofErr w:type="gramEnd"/>
      <w:r w:rsidRPr="000C7FD5">
        <w:rPr>
          <w:rFonts w:ascii="標楷體" w:eastAsia="標楷體" w:hAnsi="標楷體" w:hint="eastAsia"/>
        </w:rPr>
        <w:t>之罰鍰；其涉及刑責者，移送司法機關辦理。</w:t>
      </w:r>
    </w:p>
    <w:p w:rsidR="0019583F" w:rsidRPr="00937A95" w:rsidRDefault="0019583F" w:rsidP="0019583F"/>
    <w:p w:rsidR="006A1C66" w:rsidRPr="0019583F" w:rsidRDefault="006A1C66"/>
    <w:sectPr w:rsidR="006A1C66" w:rsidRPr="0019583F" w:rsidSect="004F0762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3F"/>
    <w:rsid w:val="0019583F"/>
    <w:rsid w:val="006A1C66"/>
    <w:rsid w:val="00CC5A4F"/>
    <w:rsid w:val="00E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8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8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assist-121</dc:creator>
  <cp:lastModifiedBy>assist-121</cp:lastModifiedBy>
  <cp:revision>1</cp:revision>
  <dcterms:created xsi:type="dcterms:W3CDTF">2019-09-11T04:09:00Z</dcterms:created>
  <dcterms:modified xsi:type="dcterms:W3CDTF">2019-09-11T04:10:00Z</dcterms:modified>
</cp:coreProperties>
</file>