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8DA4" w14:textId="3A5D34FB" w:rsidR="008933A4" w:rsidRPr="00B4005C" w:rsidRDefault="00D97655" w:rsidP="00B4005C">
      <w:pPr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proofErr w:type="spellStart"/>
      <w:r>
        <w:rPr>
          <w:rFonts w:ascii="Times New Roman" w:eastAsia="標楷體" w:hAnsi="Times New Roman" w:cs="Times New Roman" w:hint="eastAsia"/>
          <w:b/>
          <w:bCs/>
          <w:sz w:val="72"/>
          <w:szCs w:val="72"/>
        </w:rPr>
        <w:t>x</w:t>
      </w:r>
      <w:r>
        <w:rPr>
          <w:rFonts w:ascii="Times New Roman" w:eastAsia="標楷體" w:hAnsi="Times New Roman" w:cs="Times New Roman"/>
          <w:b/>
          <w:bCs/>
          <w:sz w:val="72"/>
          <w:szCs w:val="72"/>
        </w:rPr>
        <w:t>xxxxx</w:t>
      </w:r>
      <w:proofErr w:type="spellEnd"/>
      <w:r w:rsidR="00B4005C" w:rsidRPr="00B4005C">
        <w:rPr>
          <w:rFonts w:ascii="Times New Roman" w:eastAsia="標楷體" w:hAnsi="Times New Roman" w:cs="Times New Roman" w:hint="eastAsia"/>
          <w:b/>
          <w:bCs/>
          <w:sz w:val="72"/>
          <w:szCs w:val="72"/>
        </w:rPr>
        <w:t>診所</w:t>
      </w:r>
    </w:p>
    <w:p w14:paraId="4AFC9ACE" w14:textId="012B441C" w:rsidR="008933A4" w:rsidRPr="00B4005C" w:rsidRDefault="00940122">
      <w:pPr>
        <w:spacing w:after="120" w:line="50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bookmarkStart w:id="0" w:name="_Hlk66282570"/>
      <w:r w:rsidRPr="00B4005C">
        <w:rPr>
          <w:rFonts w:ascii="Times New Roman" w:eastAsia="標楷體" w:hAnsi="Times New Roman" w:cs="Times New Roman"/>
          <w:b/>
          <w:sz w:val="48"/>
          <w:szCs w:val="48"/>
        </w:rPr>
        <w:t>藥品</w:t>
      </w:r>
      <w:r w:rsidR="00B4005C" w:rsidRPr="00B4005C">
        <w:rPr>
          <w:rFonts w:ascii="Times New Roman" w:eastAsia="標楷體" w:hAnsi="Times New Roman" w:cs="Times New Roman" w:hint="eastAsia"/>
          <w:b/>
          <w:sz w:val="48"/>
          <w:szCs w:val="48"/>
        </w:rPr>
        <w:t>調製</w:t>
      </w:r>
      <w:proofErr w:type="gramStart"/>
      <w:r w:rsidRPr="00B4005C">
        <w:rPr>
          <w:rFonts w:ascii="Times New Roman" w:eastAsia="標楷體" w:hAnsi="Times New Roman" w:cs="Times New Roman"/>
          <w:b/>
          <w:sz w:val="48"/>
          <w:szCs w:val="48"/>
        </w:rPr>
        <w:t>磨粉分包</w:t>
      </w:r>
      <w:proofErr w:type="gramEnd"/>
      <w:r w:rsidRPr="00B4005C">
        <w:rPr>
          <w:rFonts w:ascii="Times New Roman" w:eastAsia="標楷體" w:hAnsi="Times New Roman" w:cs="Times New Roman"/>
          <w:b/>
          <w:sz w:val="48"/>
          <w:szCs w:val="48"/>
        </w:rPr>
        <w:t>標準作業程序</w:t>
      </w:r>
      <w:bookmarkEnd w:id="0"/>
    </w:p>
    <w:p w14:paraId="57CB9C96" w14:textId="77777777" w:rsidR="008933A4" w:rsidRDefault="00940122">
      <w:pPr>
        <w:pStyle w:val="ad"/>
        <w:numPr>
          <w:ilvl w:val="0"/>
          <w:numId w:val="1"/>
        </w:numPr>
        <w:spacing w:before="120" w:line="500" w:lineRule="exact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目的</w:t>
      </w:r>
    </w:p>
    <w:p w14:paraId="394318D5" w14:textId="77777777" w:rsidR="008933A4" w:rsidRDefault="00940122">
      <w:pPr>
        <w:pStyle w:val="ad"/>
        <w:spacing w:line="50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確保藥品</w:t>
      </w:r>
      <w:proofErr w:type="gramStart"/>
      <w:r>
        <w:rPr>
          <w:sz w:val="28"/>
          <w:szCs w:val="28"/>
        </w:rPr>
        <w:t>磨粉分包</w:t>
      </w:r>
      <w:proofErr w:type="gramEnd"/>
      <w:r>
        <w:rPr>
          <w:sz w:val="28"/>
          <w:szCs w:val="28"/>
        </w:rPr>
        <w:t>作業品質，維護病人用藥安全。</w:t>
      </w:r>
    </w:p>
    <w:p w14:paraId="5E1C8442" w14:textId="77777777" w:rsidR="008933A4" w:rsidRDefault="00940122">
      <w:pPr>
        <w:pStyle w:val="ad"/>
        <w:numPr>
          <w:ilvl w:val="0"/>
          <w:numId w:val="1"/>
        </w:numPr>
        <w:spacing w:before="120" w:line="500" w:lineRule="exact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範圍</w:t>
      </w:r>
    </w:p>
    <w:p w14:paraId="070AD2DD" w14:textId="77777777" w:rsidR="008933A4" w:rsidRDefault="00940122">
      <w:pPr>
        <w:pStyle w:val="ad"/>
        <w:spacing w:line="50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口服藥品之</w:t>
      </w:r>
      <w:proofErr w:type="gramStart"/>
      <w:r>
        <w:rPr>
          <w:sz w:val="28"/>
          <w:szCs w:val="28"/>
        </w:rPr>
        <w:t>磨粉分包</w:t>
      </w:r>
      <w:proofErr w:type="gramEnd"/>
      <w:r>
        <w:rPr>
          <w:sz w:val="28"/>
          <w:szCs w:val="28"/>
        </w:rPr>
        <w:t>作業適用之。危害性藥品之</w:t>
      </w:r>
      <w:r w:rsidR="00A47FEB">
        <w:rPr>
          <w:rFonts w:hint="eastAsia"/>
          <w:sz w:val="28"/>
          <w:szCs w:val="28"/>
        </w:rPr>
        <w:t>磨</w:t>
      </w:r>
      <w:r>
        <w:rPr>
          <w:sz w:val="28"/>
          <w:szCs w:val="28"/>
        </w:rPr>
        <w:t>粉作業流程需另訂之。</w:t>
      </w:r>
    </w:p>
    <w:p w14:paraId="45481791" w14:textId="77777777" w:rsidR="008933A4" w:rsidRDefault="00940122">
      <w:pPr>
        <w:pStyle w:val="ad"/>
        <w:numPr>
          <w:ilvl w:val="0"/>
          <w:numId w:val="1"/>
        </w:numPr>
        <w:spacing w:before="120" w:line="500" w:lineRule="exact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權責</w:t>
      </w:r>
    </w:p>
    <w:p w14:paraId="79BCE0C0" w14:textId="77777777" w:rsidR="008933A4" w:rsidRDefault="00940122">
      <w:pPr>
        <w:pStyle w:val="ad"/>
        <w:spacing w:line="500" w:lineRule="exact"/>
        <w:ind w:left="525" w:hanging="45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藥事人員</w:t>
      </w:r>
      <w:r>
        <w:rPr>
          <w:rFonts w:ascii="微軟正黑體" w:eastAsia="微軟正黑體" w:hAnsi="微軟正黑體"/>
          <w:sz w:val="28"/>
          <w:szCs w:val="28"/>
        </w:rPr>
        <w:t>：</w:t>
      </w:r>
      <w:r>
        <w:rPr>
          <w:sz w:val="28"/>
          <w:szCs w:val="28"/>
        </w:rPr>
        <w:t>執行藥品</w:t>
      </w:r>
      <w:proofErr w:type="gramStart"/>
      <w:r>
        <w:rPr>
          <w:sz w:val="28"/>
          <w:szCs w:val="28"/>
        </w:rPr>
        <w:t>磨粉分包</w:t>
      </w:r>
      <w:proofErr w:type="gramEnd"/>
      <w:r>
        <w:rPr>
          <w:sz w:val="28"/>
          <w:szCs w:val="28"/>
        </w:rPr>
        <w:t>作業。</w:t>
      </w:r>
    </w:p>
    <w:p w14:paraId="5E07261A" w14:textId="77777777" w:rsidR="008933A4" w:rsidRDefault="00940122">
      <w:pPr>
        <w:pStyle w:val="ad"/>
        <w:numPr>
          <w:ilvl w:val="0"/>
          <w:numId w:val="1"/>
        </w:numPr>
        <w:spacing w:before="120" w:line="500" w:lineRule="exact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調製作業之程序</w:t>
      </w:r>
    </w:p>
    <w:p w14:paraId="534D9321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</w:pPr>
      <w:r>
        <w:rPr>
          <w:sz w:val="28"/>
          <w:szCs w:val="28"/>
        </w:rPr>
        <w:t>配戴口</w:t>
      </w:r>
      <w:r>
        <w:rPr>
          <w:color w:val="000000"/>
          <w:sz w:val="28"/>
          <w:szCs w:val="28"/>
        </w:rPr>
        <w:t>罩。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備註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得依調製風險增訂應穿戴之防護裝備，如手套、護目鏡等。</w:t>
      </w:r>
      <w:r>
        <w:rPr>
          <w:color w:val="000000"/>
          <w:sz w:val="28"/>
          <w:szCs w:val="28"/>
        </w:rPr>
        <w:t>)</w:t>
      </w:r>
    </w:p>
    <w:p w14:paraId="6212311A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</w:pPr>
      <w:r>
        <w:rPr>
          <w:color w:val="000000"/>
          <w:sz w:val="28"/>
          <w:szCs w:val="28"/>
        </w:rPr>
        <w:t>依處方</w:t>
      </w:r>
      <w:proofErr w:type="gramStart"/>
      <w:r>
        <w:rPr>
          <w:color w:val="000000"/>
          <w:sz w:val="28"/>
          <w:szCs w:val="28"/>
        </w:rPr>
        <w:t>箋</w:t>
      </w:r>
      <w:proofErr w:type="gramEnd"/>
      <w:r>
        <w:rPr>
          <w:color w:val="000000"/>
          <w:sz w:val="28"/>
          <w:szCs w:val="28"/>
        </w:rPr>
        <w:t>內容選取正確藥品、計數正確數量。</w:t>
      </w:r>
    </w:p>
    <w:p w14:paraId="6EF2A3A9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</w:pPr>
      <w:r>
        <w:rPr>
          <w:sz w:val="28"/>
          <w:szCs w:val="28"/>
        </w:rPr>
        <w:t>再次確</w:t>
      </w:r>
      <w:r>
        <w:rPr>
          <w:color w:val="000000"/>
          <w:sz w:val="28"/>
          <w:szCs w:val="28"/>
        </w:rPr>
        <w:t>認所取藥品</w:t>
      </w:r>
      <w:proofErr w:type="gramStart"/>
      <w:r>
        <w:rPr>
          <w:color w:val="000000"/>
          <w:sz w:val="28"/>
          <w:szCs w:val="28"/>
        </w:rPr>
        <w:t>品</w:t>
      </w:r>
      <w:proofErr w:type="gramEnd"/>
      <w:r>
        <w:rPr>
          <w:color w:val="000000"/>
          <w:sz w:val="28"/>
          <w:szCs w:val="28"/>
        </w:rPr>
        <w:t>項及數量是否正確。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備註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此步驟為調製作業正確性之確認程序。</w:t>
      </w:r>
      <w:r>
        <w:rPr>
          <w:color w:val="000000"/>
          <w:sz w:val="28"/>
          <w:szCs w:val="28"/>
        </w:rPr>
        <w:t>)</w:t>
      </w:r>
    </w:p>
    <w:p w14:paraId="6D7D75D7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以</w:t>
      </w:r>
      <w:proofErr w:type="gramStart"/>
      <w:r>
        <w:rPr>
          <w:color w:val="000000"/>
          <w:sz w:val="28"/>
          <w:szCs w:val="28"/>
        </w:rPr>
        <w:t>磨粉機將</w:t>
      </w:r>
      <w:proofErr w:type="gramEnd"/>
      <w:r>
        <w:rPr>
          <w:color w:val="000000"/>
          <w:sz w:val="28"/>
          <w:szCs w:val="28"/>
        </w:rPr>
        <w:t>藥品磨成粉末。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備註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磨</w:t>
      </w:r>
      <w:proofErr w:type="gramStart"/>
      <w:r>
        <w:rPr>
          <w:color w:val="000000"/>
          <w:sz w:val="28"/>
          <w:szCs w:val="28"/>
        </w:rPr>
        <w:t>粉機得以研缽及杵</w:t>
      </w:r>
      <w:proofErr w:type="gramEnd"/>
      <w:r>
        <w:rPr>
          <w:color w:val="000000"/>
          <w:sz w:val="28"/>
          <w:szCs w:val="28"/>
        </w:rPr>
        <w:t>取代。</w:t>
      </w:r>
      <w:r>
        <w:rPr>
          <w:color w:val="000000"/>
          <w:sz w:val="28"/>
          <w:szCs w:val="28"/>
        </w:rPr>
        <w:t>)</w:t>
      </w:r>
    </w:p>
    <w:p w14:paraId="011EA53B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必要時，將藥品粉末與適量稀釋劑混和均勻。</w:t>
      </w:r>
    </w:p>
    <w:p w14:paraId="0FB5801C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確認分包數量，以分包機進行分包。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備註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分包機得以人工秤重分包取代。</w:t>
      </w:r>
      <w:r>
        <w:rPr>
          <w:color w:val="000000"/>
          <w:sz w:val="28"/>
          <w:szCs w:val="28"/>
        </w:rPr>
        <w:t>)</w:t>
      </w:r>
    </w:p>
    <w:p w14:paraId="41006413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</w:pPr>
      <w:r>
        <w:rPr>
          <w:color w:val="000000"/>
          <w:sz w:val="28"/>
          <w:szCs w:val="28"/>
        </w:rPr>
        <w:t>確認分包數量是否正確、肉眼檢查確認</w:t>
      </w:r>
      <w:proofErr w:type="gramStart"/>
      <w:r>
        <w:rPr>
          <w:color w:val="000000"/>
          <w:sz w:val="28"/>
          <w:szCs w:val="28"/>
        </w:rPr>
        <w:t>磨粉分包</w:t>
      </w:r>
      <w:proofErr w:type="gramEnd"/>
      <w:r>
        <w:rPr>
          <w:color w:val="000000"/>
          <w:sz w:val="28"/>
          <w:szCs w:val="28"/>
        </w:rPr>
        <w:t>藥品外觀，包括：顏色、分包均一度、是否有異物雜質。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備註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此步驟為調製作業正確性之確認程序。</w:t>
      </w:r>
      <w:r>
        <w:rPr>
          <w:color w:val="000000"/>
          <w:sz w:val="28"/>
          <w:szCs w:val="28"/>
        </w:rPr>
        <w:t>)</w:t>
      </w:r>
    </w:p>
    <w:p w14:paraId="470C1132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將</w:t>
      </w:r>
      <w:proofErr w:type="gramStart"/>
      <w:r>
        <w:rPr>
          <w:color w:val="000000"/>
          <w:sz w:val="28"/>
          <w:szCs w:val="28"/>
        </w:rPr>
        <w:t>磨粉分包</w:t>
      </w:r>
      <w:proofErr w:type="gramEnd"/>
      <w:r>
        <w:rPr>
          <w:color w:val="000000"/>
          <w:sz w:val="28"/>
          <w:szCs w:val="28"/>
        </w:rPr>
        <w:t>藥品</w:t>
      </w:r>
      <w:proofErr w:type="gramStart"/>
      <w:r>
        <w:rPr>
          <w:color w:val="000000"/>
          <w:sz w:val="28"/>
          <w:szCs w:val="28"/>
        </w:rPr>
        <w:t>置於藥袋</w:t>
      </w:r>
      <w:proofErr w:type="gramEnd"/>
      <w:r>
        <w:rPr>
          <w:color w:val="000000"/>
          <w:sz w:val="28"/>
          <w:szCs w:val="28"/>
        </w:rPr>
        <w:t>，並確認藥袋或藥品包裝已標示下列事項：</w:t>
      </w:r>
    </w:p>
    <w:p w14:paraId="34FC76B1" w14:textId="77777777" w:rsidR="008933A4" w:rsidRDefault="00940122">
      <w:pPr>
        <w:pStyle w:val="ad"/>
        <w:numPr>
          <w:ilvl w:val="1"/>
          <w:numId w:val="1"/>
        </w:numPr>
        <w:spacing w:line="5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磨粉之個別藥品名稱及其單位含量。</w:t>
      </w:r>
    </w:p>
    <w:p w14:paraId="546241BC" w14:textId="77777777" w:rsidR="008933A4" w:rsidRDefault="00940122">
      <w:pPr>
        <w:pStyle w:val="ad"/>
        <w:numPr>
          <w:ilvl w:val="1"/>
          <w:numId w:val="1"/>
        </w:numPr>
        <w:spacing w:line="5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調製日期。</w:t>
      </w:r>
    </w:p>
    <w:p w14:paraId="5880B68B" w14:textId="77777777" w:rsidR="008933A4" w:rsidRDefault="00940122">
      <w:pPr>
        <w:pStyle w:val="ad"/>
        <w:numPr>
          <w:ilvl w:val="1"/>
          <w:numId w:val="1"/>
        </w:numPr>
        <w:spacing w:line="5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使用期限。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備註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得以處方天數取代。</w:t>
      </w:r>
      <w:r>
        <w:rPr>
          <w:color w:val="000000"/>
          <w:sz w:val="28"/>
          <w:szCs w:val="28"/>
        </w:rPr>
        <w:t>)</w:t>
      </w:r>
    </w:p>
    <w:p w14:paraId="5CE7C5E4" w14:textId="77777777" w:rsidR="008933A4" w:rsidRDefault="00940122">
      <w:pPr>
        <w:pStyle w:val="ad"/>
        <w:numPr>
          <w:ilvl w:val="1"/>
          <w:numId w:val="1"/>
        </w:numPr>
        <w:spacing w:line="5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貯存條件。</w:t>
      </w:r>
    </w:p>
    <w:p w14:paraId="429F9C09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</w:pPr>
      <w:proofErr w:type="gramStart"/>
      <w:r>
        <w:rPr>
          <w:color w:val="000000"/>
          <w:sz w:val="28"/>
          <w:szCs w:val="28"/>
        </w:rPr>
        <w:t>清潔磨</w:t>
      </w:r>
      <w:proofErr w:type="gramEnd"/>
      <w:r>
        <w:rPr>
          <w:color w:val="000000"/>
          <w:sz w:val="28"/>
          <w:szCs w:val="28"/>
        </w:rPr>
        <w:t>粉設備，用吸塵器</w:t>
      </w:r>
      <w:proofErr w:type="gramStart"/>
      <w:r>
        <w:rPr>
          <w:color w:val="000000"/>
          <w:sz w:val="28"/>
          <w:szCs w:val="28"/>
        </w:rPr>
        <w:t>清潔磨粉機</w:t>
      </w:r>
      <w:proofErr w:type="gramEnd"/>
      <w:r>
        <w:rPr>
          <w:color w:val="000000"/>
          <w:sz w:val="28"/>
          <w:szCs w:val="28"/>
        </w:rPr>
        <w:t>、分包機及相關設備。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備註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得以用水清洗或使用</w:t>
      </w:r>
      <w:r>
        <w:rPr>
          <w:color w:val="000000"/>
          <w:sz w:val="28"/>
          <w:szCs w:val="28"/>
        </w:rPr>
        <w:t>75%</w:t>
      </w:r>
      <w:r>
        <w:rPr>
          <w:color w:val="000000"/>
          <w:sz w:val="28"/>
          <w:szCs w:val="28"/>
        </w:rPr>
        <w:t>酒精清潔擦拭取代；人工</w:t>
      </w:r>
      <w:proofErr w:type="gramStart"/>
      <w:r>
        <w:rPr>
          <w:color w:val="000000"/>
          <w:sz w:val="28"/>
          <w:szCs w:val="28"/>
        </w:rPr>
        <w:t>磨粉分包</w:t>
      </w:r>
      <w:proofErr w:type="gramEnd"/>
      <w:r>
        <w:rPr>
          <w:color w:val="000000"/>
          <w:sz w:val="28"/>
          <w:szCs w:val="28"/>
        </w:rPr>
        <w:t>作業，得以用水清洗或使用</w:t>
      </w:r>
      <w:r>
        <w:rPr>
          <w:color w:val="000000"/>
          <w:sz w:val="28"/>
          <w:szCs w:val="28"/>
        </w:rPr>
        <w:t>75%</w:t>
      </w:r>
      <w:r>
        <w:rPr>
          <w:color w:val="000000"/>
          <w:sz w:val="28"/>
          <w:szCs w:val="28"/>
        </w:rPr>
        <w:t>酒精清潔擦拭</w:t>
      </w:r>
      <w:proofErr w:type="gramStart"/>
      <w:r>
        <w:rPr>
          <w:color w:val="000000"/>
          <w:sz w:val="28"/>
          <w:szCs w:val="28"/>
        </w:rPr>
        <w:t>研</w:t>
      </w:r>
      <w:proofErr w:type="gramEnd"/>
      <w:r>
        <w:rPr>
          <w:color w:val="000000"/>
          <w:sz w:val="28"/>
          <w:szCs w:val="28"/>
        </w:rPr>
        <w:t>缽、</w:t>
      </w:r>
      <w:proofErr w:type="gramStart"/>
      <w:r>
        <w:rPr>
          <w:color w:val="000000"/>
          <w:sz w:val="28"/>
          <w:szCs w:val="28"/>
        </w:rPr>
        <w:t>杵及藥匙</w:t>
      </w:r>
      <w:proofErr w:type="gramEnd"/>
      <w:r>
        <w:rPr>
          <w:color w:val="000000"/>
          <w:sz w:val="28"/>
          <w:szCs w:val="28"/>
        </w:rPr>
        <w:t>取代。</w:t>
      </w:r>
      <w:r>
        <w:rPr>
          <w:color w:val="000000"/>
          <w:sz w:val="28"/>
          <w:szCs w:val="28"/>
        </w:rPr>
        <w:t>)</w:t>
      </w:r>
    </w:p>
    <w:p w14:paraId="0031E7CE" w14:textId="77777777" w:rsidR="008933A4" w:rsidRDefault="00940122">
      <w:pPr>
        <w:pStyle w:val="ad"/>
        <w:numPr>
          <w:ilvl w:val="0"/>
          <w:numId w:val="2"/>
        </w:num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分包機進行分包後，應定期進行抽樣秤重檢視或依固定時程進行校正。</w:t>
      </w:r>
    </w:p>
    <w:p w14:paraId="159677D8" w14:textId="77777777" w:rsidR="008933A4" w:rsidRDefault="00940122">
      <w:pPr>
        <w:pStyle w:val="ad"/>
        <w:numPr>
          <w:ilvl w:val="0"/>
          <w:numId w:val="1"/>
        </w:numPr>
        <w:spacing w:before="120" w:line="500" w:lineRule="exact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調製作業之應紀錄事項</w:t>
      </w:r>
    </w:p>
    <w:p w14:paraId="4880612D" w14:textId="77777777" w:rsidR="008933A4" w:rsidRDefault="00940122">
      <w:pPr>
        <w:pStyle w:val="ad"/>
        <w:spacing w:line="500" w:lineRule="exact"/>
        <w:ind w:left="510"/>
        <w:jc w:val="both"/>
      </w:pPr>
      <w:r>
        <w:rPr>
          <w:sz w:val="28"/>
          <w:szCs w:val="28"/>
        </w:rPr>
        <w:lastRenderedPageBreak/>
        <w:t>應紀錄下列事項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備註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得紀錄於藥品處方箋</w:t>
      </w:r>
      <w:r>
        <w:rPr>
          <w:color w:val="000000"/>
          <w:sz w:val="28"/>
          <w:szCs w:val="28"/>
        </w:rPr>
        <w:t>)</w:t>
      </w:r>
    </w:p>
    <w:p w14:paraId="001CDD0A" w14:textId="77777777" w:rsidR="008933A4" w:rsidRDefault="00940122">
      <w:pPr>
        <w:pStyle w:val="ad"/>
        <w:numPr>
          <w:ilvl w:val="0"/>
          <w:numId w:val="3"/>
        </w:numPr>
        <w:spacing w:line="500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調製藥事人員。</w:t>
      </w:r>
    </w:p>
    <w:p w14:paraId="6E587E94" w14:textId="77777777" w:rsidR="008933A4" w:rsidRDefault="00940122">
      <w:pPr>
        <w:pStyle w:val="ad"/>
        <w:numPr>
          <w:ilvl w:val="0"/>
          <w:numId w:val="3"/>
        </w:numPr>
        <w:spacing w:line="50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調製日期。</w:t>
      </w:r>
    </w:p>
    <w:p w14:paraId="53FCEB94" w14:textId="77777777" w:rsidR="008933A4" w:rsidRDefault="00940122">
      <w:pPr>
        <w:pStyle w:val="ad"/>
        <w:numPr>
          <w:ilvl w:val="0"/>
          <w:numId w:val="3"/>
        </w:numPr>
        <w:spacing w:line="50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磨粉個別藥品名稱、數量及分包數量。</w:t>
      </w:r>
    </w:p>
    <w:p w14:paraId="28E65FB7" w14:textId="77777777" w:rsidR="008933A4" w:rsidRDefault="008933A4">
      <w:pPr>
        <w:spacing w:line="280" w:lineRule="exact"/>
        <w:rPr>
          <w:rFonts w:ascii="標楷體" w:eastAsia="標楷體" w:hAnsi="標楷體" w:cs="Times New Roman"/>
        </w:rPr>
      </w:pPr>
    </w:p>
    <w:sectPr w:rsidR="008933A4" w:rsidSect="00506300">
      <w:footerReference w:type="default" r:id="rId7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CD46" w14:textId="77777777" w:rsidR="00CD1C6F" w:rsidRDefault="00CD1C6F">
      <w:r>
        <w:separator/>
      </w:r>
    </w:p>
  </w:endnote>
  <w:endnote w:type="continuationSeparator" w:id="0">
    <w:p w14:paraId="44737B95" w14:textId="77777777" w:rsidR="00CD1C6F" w:rsidRDefault="00C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6EA5" w14:textId="77777777" w:rsidR="00F673D2" w:rsidRDefault="00000000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3090" w14:textId="77777777" w:rsidR="00CD1C6F" w:rsidRDefault="00CD1C6F">
      <w:r>
        <w:separator/>
      </w:r>
    </w:p>
  </w:footnote>
  <w:footnote w:type="continuationSeparator" w:id="0">
    <w:p w14:paraId="6309F6A3" w14:textId="77777777" w:rsidR="00CD1C6F" w:rsidRDefault="00CD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93C"/>
    <w:multiLevelType w:val="multilevel"/>
    <w:tmpl w:val="E5966566"/>
    <w:lvl w:ilvl="0">
      <w:start w:val="1"/>
      <w:numFmt w:val="taiwaneseCountingThousand"/>
      <w:lvlText w:val="(%1)"/>
      <w:lvlJc w:val="left"/>
      <w:pPr>
        <w:ind w:left="510" w:hanging="390"/>
      </w:pPr>
    </w:lvl>
    <w:lvl w:ilvl="1">
      <w:start w:val="1"/>
      <w:numFmt w:val="decimal"/>
      <w:lvlText w:val="%2.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C813F64"/>
    <w:multiLevelType w:val="multilevel"/>
    <w:tmpl w:val="52A0570C"/>
    <w:lvl w:ilvl="0">
      <w:start w:val="1"/>
      <w:numFmt w:val="taiwaneseCountingThousand"/>
      <w:lvlText w:val="(%1)"/>
      <w:lvlJc w:val="left"/>
      <w:pPr>
        <w:ind w:left="72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D16E3A"/>
    <w:multiLevelType w:val="multilevel"/>
    <w:tmpl w:val="DE1C852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371804464">
    <w:abstractNumId w:val="2"/>
  </w:num>
  <w:num w:numId="2" w16cid:durableId="1392996698">
    <w:abstractNumId w:val="1"/>
  </w:num>
  <w:num w:numId="3" w16cid:durableId="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A4"/>
    <w:rsid w:val="004A693F"/>
    <w:rsid w:val="00506300"/>
    <w:rsid w:val="006259F3"/>
    <w:rsid w:val="008933A4"/>
    <w:rsid w:val="00940122"/>
    <w:rsid w:val="00A47FEB"/>
    <w:rsid w:val="00A94306"/>
    <w:rsid w:val="00B4005C"/>
    <w:rsid w:val="00CC5F5B"/>
    <w:rsid w:val="00CD1C6F"/>
    <w:rsid w:val="00D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18808"/>
  <w15:docId w15:val="{5F754FA8-0EC9-4E7F-A187-38993352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color w:val="000000"/>
      <w:kern w:val="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color w:val="000000"/>
      <w:kern w:val="3"/>
      <w:sz w:val="52"/>
      <w:szCs w:val="52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rPr>
      <w:rFonts w:ascii="Calibri Light" w:eastAsia="新細明體" w:hAnsi="Calibri Light" w:cs="Times New Roman"/>
      <w:color w:val="000000"/>
      <w:kern w:val="0"/>
      <w:sz w:val="36"/>
      <w:szCs w:val="36"/>
    </w:rPr>
  </w:style>
  <w:style w:type="character" w:customStyle="1" w:styleId="50">
    <w:name w:val="標題 5 字元"/>
    <w:basedOn w:val="a0"/>
    <w:rPr>
      <w:rFonts w:ascii="Calibri Light" w:eastAsia="新細明體" w:hAnsi="Calibri Light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rPr>
      <w:rFonts w:ascii="Calibri Light" w:eastAsia="新細明體" w:hAnsi="Calibri Light" w:cs="Times New Roman"/>
      <w:color w:val="000000"/>
      <w:kern w:val="0"/>
      <w:sz w:val="36"/>
      <w:szCs w:val="36"/>
    </w:rPr>
  </w:style>
  <w:style w:type="paragraph" w:styleId="a3">
    <w:name w:val="Title"/>
    <w:basedOn w:val="a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rPr>
      <w:rFonts w:ascii="Calibri Light" w:eastAsia="新細明體" w:hAnsi="Calibri Light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副標題 字元"/>
    <w:basedOn w:val="a0"/>
    <w:rPr>
      <w:rFonts w:ascii="Calibri Light" w:eastAsia="新細明體" w:hAnsi="Calibri Light" w:cs="Times New Roman"/>
      <w:i/>
      <w:iCs/>
      <w:color w:val="000000"/>
      <w:kern w:val="0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Calibri" w:hAnsi="Calibri" w:cs="Calibri"/>
      <w:color w:val="000000"/>
      <w:kern w:val="0"/>
      <w:sz w:val="20"/>
      <w:szCs w:val="20"/>
    </w:rPr>
  </w:style>
  <w:style w:type="character" w:styleId="ab">
    <w:name w:val="Hyperlink"/>
    <w:basedOn w:val="a0"/>
    <w:rPr>
      <w:rFonts w:cs="Times New Roman"/>
      <w:color w:val="0563C1"/>
      <w:u w:val="single"/>
    </w:rPr>
  </w:style>
  <w:style w:type="character" w:styleId="ac">
    <w:name w:val="FollowedHyperlink"/>
    <w:basedOn w:val="a0"/>
    <w:rPr>
      <w:rFonts w:cs="Times New Roman"/>
      <w:color w:val="954F72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auto"/>
    </w:rPr>
  </w:style>
  <w:style w:type="paragraph" w:styleId="ad">
    <w:name w:val="List Paragraph"/>
    <w:basedOn w:val="a"/>
    <w:pPr>
      <w:ind w:left="480"/>
    </w:pPr>
    <w:rPr>
      <w:rFonts w:ascii="Times New Roman" w:eastAsia="標楷體" w:hAnsi="Times New Roman" w:cs="Times New Roman"/>
      <w:color w:val="auto"/>
      <w:kern w:val="3"/>
      <w:sz w:val="22"/>
      <w:szCs w:val="22"/>
    </w:rPr>
  </w:style>
  <w:style w:type="paragraph" w:customStyle="1" w:styleId="11">
    <w:name w:val="清單段落1"/>
    <w:basedOn w:val="a"/>
    <w:pPr>
      <w:ind w:left="480"/>
    </w:pPr>
    <w:rPr>
      <w:rFonts w:ascii="Times New Roman" w:eastAsia="標楷體" w:hAnsi="Times New Roman" w:cs="Times New Roman"/>
      <w:color w:val="auto"/>
      <w:kern w:val="3"/>
      <w:sz w:val="22"/>
      <w:szCs w:val="22"/>
    </w:rPr>
  </w:style>
  <w:style w:type="character" w:customStyle="1" w:styleId="12">
    <w:name w:val="未解析的提及項目1"/>
    <w:basedOn w:val="a0"/>
    <w:rPr>
      <w:color w:val="605E5C"/>
      <w:shd w:val="clear" w:color="auto" w:fill="E1DFDD"/>
    </w:rPr>
  </w:style>
  <w:style w:type="character" w:customStyle="1" w:styleId="13">
    <w:name w:val="未解析的提及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張芝榕</dc:creator>
  <dc:description/>
  <cp:lastModifiedBy>立明 陳</cp:lastModifiedBy>
  <cp:revision>2</cp:revision>
  <cp:lastPrinted>2021-05-21T05:47:00Z</cp:lastPrinted>
  <dcterms:created xsi:type="dcterms:W3CDTF">2023-02-14T14:16:00Z</dcterms:created>
  <dcterms:modified xsi:type="dcterms:W3CDTF">2023-02-14T14:16:00Z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0x0101006E9D34B05F6B8C4F95D2ED771E390377</vt:lpwstr>
  </property>
</Properties>
</file>